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89" w:rsidRPr="00075789" w:rsidRDefault="00CD0DF3" w:rsidP="00075789">
      <w:pPr>
        <w:jc w:val="center"/>
        <w:rPr>
          <w:rFonts w:ascii="Berlin Sans FB" w:hAnsi="Berlin Sans FB"/>
          <w:b/>
          <w:i/>
          <w:color w:val="C00000"/>
          <w:sz w:val="96"/>
          <w:szCs w:val="96"/>
          <w:u w:val="single"/>
        </w:rPr>
      </w:pPr>
      <w:r w:rsidRPr="00075789">
        <w:rPr>
          <w:rFonts w:ascii="Berlin Sans FB" w:hAnsi="Berlin Sans FB"/>
          <w:b/>
          <w:i/>
          <w:color w:val="C00000"/>
          <w:sz w:val="96"/>
          <w:szCs w:val="96"/>
          <w:u w:val="single"/>
        </w:rPr>
        <w:t>RIFORMA TERZO SETTORE</w:t>
      </w:r>
      <w:r w:rsidR="004B3001">
        <w:rPr>
          <w:noProof/>
          <w:lang w:eastAsia="it-IT"/>
        </w:rPr>
        <w:drawing>
          <wp:inline distT="0" distB="0" distL="0" distR="0">
            <wp:extent cx="4543425" cy="2385298"/>
            <wp:effectExtent l="19050" t="0" r="0" b="0"/>
            <wp:docPr id="1" name="Immagine 1" descr="Risultati immagini per foto riforma terzo set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to riforma terzo set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4" cy="238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89" w:rsidRDefault="00075789"/>
    <w:p w:rsidR="006C4E77" w:rsidRPr="006C4E77" w:rsidRDefault="006C4E77" w:rsidP="006C4E77">
      <w:pPr>
        <w:shd w:val="clear" w:color="auto" w:fill="FDE9D9" w:themeFill="accent6" w:themeFillTint="33"/>
        <w:rPr>
          <w:rFonts w:cs="Miriam"/>
          <w:color w:val="C00000"/>
          <w:sz w:val="48"/>
          <w:szCs w:val="48"/>
          <w:shd w:val="clear" w:color="auto" w:fill="F5E5D5"/>
        </w:rPr>
      </w:pPr>
      <w:r w:rsidRPr="006C4E77">
        <w:rPr>
          <w:rFonts w:cs="Miriam"/>
          <w:color w:val="C00000"/>
          <w:sz w:val="48"/>
          <w:szCs w:val="48"/>
          <w:shd w:val="clear" w:color="auto" w:fill="F5E5D5"/>
        </w:rPr>
        <w:t>A CHI È RIVOLTA?</w:t>
      </w:r>
    </w:p>
    <w:p w:rsidR="006C4E77" w:rsidRDefault="006C4E77" w:rsidP="006C4E77">
      <w:pPr>
        <w:rPr>
          <w:rFonts w:ascii="Georgia" w:hAnsi="Georgia"/>
          <w:color w:val="1A171B"/>
          <w:sz w:val="27"/>
          <w:szCs w:val="27"/>
          <w:shd w:val="clear" w:color="auto" w:fill="F5E5D5"/>
        </w:rPr>
      </w:pPr>
      <w:r>
        <w:rPr>
          <w:rFonts w:ascii="Georgia" w:hAnsi="Georgia"/>
          <w:color w:val="1A171B"/>
          <w:sz w:val="27"/>
          <w:szCs w:val="27"/>
          <w:shd w:val="clear" w:color="auto" w:fill="F5E5D5"/>
        </w:rPr>
        <w:t>Associazioni, Onlus e fondazioni che intrattengono rapporti economici con pubbliche amministrazioni, società pubbliche ed enti controllati</w:t>
      </w:r>
    </w:p>
    <w:p w:rsidR="007313F0" w:rsidRPr="006C4E77" w:rsidRDefault="00CD0DF3" w:rsidP="00AC14EE">
      <w:pPr>
        <w:shd w:val="clear" w:color="auto" w:fill="FDE9D9" w:themeFill="accent6" w:themeFillTint="33"/>
        <w:rPr>
          <w:rFonts w:cs="Miriam"/>
          <w:color w:val="C00000"/>
          <w:sz w:val="48"/>
          <w:szCs w:val="48"/>
        </w:rPr>
      </w:pPr>
      <w:r w:rsidRPr="006C4E77">
        <w:rPr>
          <w:rFonts w:cs="Miriam"/>
          <w:color w:val="C00000"/>
          <w:sz w:val="48"/>
          <w:szCs w:val="48"/>
        </w:rPr>
        <w:t>IN COSA CONSISTE?</w:t>
      </w:r>
    </w:p>
    <w:p w:rsidR="006C4E77" w:rsidRDefault="00CA18FF">
      <w:pPr>
        <w:rPr>
          <w:rFonts w:ascii="Georgia" w:hAnsi="Georgia"/>
          <w:color w:val="1A171B"/>
          <w:sz w:val="27"/>
          <w:szCs w:val="27"/>
          <w:shd w:val="clear" w:color="auto" w:fill="F5E5D5"/>
        </w:rPr>
      </w:pPr>
      <w:r>
        <w:rPr>
          <w:rFonts w:ascii="Tahoma" w:hAnsi="Tahoma" w:cs="Tahoma"/>
          <w:color w:val="0C0C0F"/>
          <w:sz w:val="26"/>
          <w:szCs w:val="26"/>
          <w:shd w:val="clear" w:color="auto" w:fill="FFFFFF"/>
        </w:rPr>
        <w:t>In base al </w:t>
      </w:r>
      <w:hyperlink r:id="rId7" w:history="1">
        <w:r w:rsidR="003C0A5B" w:rsidRPr="003C0A5B">
          <w:rPr>
            <w:rStyle w:val="Collegamentoipertestuale"/>
            <w:rFonts w:ascii="Georgia" w:hAnsi="Georgia" w:cs="Tahoma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D.Lgs. </w:t>
        </w:r>
        <w:r w:rsidRPr="003C0A5B">
          <w:rPr>
            <w:rStyle w:val="Collegamentoipertestuale"/>
            <w:rFonts w:ascii="Georgia" w:hAnsi="Georgia" w:cs="Tahoma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 luglio 2017 n. 117</w:t>
        </w:r>
      </w:hyperlink>
      <w:r w:rsidRPr="003C0A5B">
        <w:rPr>
          <w:rStyle w:val="Enfasigrassetto"/>
          <w:rFonts w:ascii="Georgia" w:hAnsi="Georgia" w:cs="Tahoma"/>
          <w:color w:val="0C0C0F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3C0A5B">
        <w:rPr>
          <w:rStyle w:val="Enfasigrassetto"/>
          <w:rFonts w:ascii="Tahoma" w:hAnsi="Tahoma" w:cs="Tahoma"/>
          <w:b w:val="0"/>
          <w:color w:val="0C0C0F"/>
          <w:sz w:val="26"/>
          <w:szCs w:val="26"/>
          <w:bdr w:val="none" w:sz="0" w:space="0" w:color="auto" w:frame="1"/>
          <w:shd w:val="clear" w:color="auto" w:fill="FFFFFF"/>
        </w:rPr>
        <w:t xml:space="preserve"> corretto e modificato poi dal </w:t>
      </w:r>
      <w:proofErr w:type="spellStart"/>
      <w:r w:rsidRPr="003C0A5B">
        <w:rPr>
          <w:rStyle w:val="Enfasigrassetto"/>
          <w:rFonts w:ascii="Tahoma" w:hAnsi="Tahoma" w:cs="Tahoma"/>
          <w:b w:val="0"/>
          <w:color w:val="0C0C0F"/>
          <w:sz w:val="26"/>
          <w:szCs w:val="26"/>
          <w:bdr w:val="none" w:sz="0" w:space="0" w:color="auto" w:frame="1"/>
          <w:shd w:val="clear" w:color="auto" w:fill="FFFFFF"/>
        </w:rPr>
        <w:t>D.Lgs.</w:t>
      </w:r>
      <w:proofErr w:type="spellEnd"/>
      <w:r w:rsidRPr="003C0A5B">
        <w:rPr>
          <w:rStyle w:val="Enfasigrassetto"/>
          <w:rFonts w:ascii="Tahoma" w:hAnsi="Tahoma" w:cs="Tahoma"/>
          <w:b w:val="0"/>
          <w:color w:val="0C0C0F"/>
          <w:sz w:val="26"/>
          <w:szCs w:val="26"/>
          <w:bdr w:val="none" w:sz="0" w:space="0" w:color="auto" w:frame="1"/>
          <w:shd w:val="clear" w:color="auto" w:fill="FFFFFF"/>
        </w:rPr>
        <w:t xml:space="preserve"> 3 agosto 2018, n. 105 (fonte: www.altalex.com</w:t>
      </w:r>
      <w:r w:rsidR="003C0A5B" w:rsidRPr="003C0A5B">
        <w:rPr>
          <w:rStyle w:val="Enfasigrassetto"/>
          <w:rFonts w:ascii="Tahoma" w:hAnsi="Tahoma" w:cs="Tahoma"/>
          <w:b w:val="0"/>
          <w:color w:val="0C0C0F"/>
          <w:sz w:val="26"/>
          <w:szCs w:val="26"/>
          <w:bdr w:val="none" w:sz="0" w:space="0" w:color="auto" w:frame="1"/>
          <w:shd w:val="clear" w:color="auto" w:fill="FFFFFF"/>
        </w:rPr>
        <w:t>)</w:t>
      </w:r>
      <w:r w:rsidRPr="003C0A5B">
        <w:rPr>
          <w:rStyle w:val="Enfasigrassetto"/>
          <w:rFonts w:ascii="Tahoma" w:hAnsi="Tahoma" w:cs="Tahoma"/>
          <w:b w:val="0"/>
          <w:color w:val="0C0C0F"/>
          <w:sz w:val="26"/>
          <w:szCs w:val="26"/>
          <w:bdr w:val="none" w:sz="0" w:space="0" w:color="auto" w:frame="1"/>
          <w:shd w:val="clear" w:color="auto" w:fill="FFFFFF"/>
        </w:rPr>
        <w:t>,</w:t>
      </w:r>
      <w:r>
        <w:rPr>
          <w:rStyle w:val="Enfasigrassetto"/>
          <w:rFonts w:ascii="Tahoma" w:hAnsi="Tahoma" w:cs="Tahoma"/>
          <w:color w:val="0C0C0F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C14EE">
        <w:rPr>
          <w:rFonts w:ascii="Georgia" w:hAnsi="Georgia"/>
          <w:color w:val="1A171B"/>
          <w:sz w:val="27"/>
          <w:szCs w:val="27"/>
          <w:shd w:val="clear" w:color="auto" w:fill="F5E5D5"/>
        </w:rPr>
        <w:t>«Entro il 28 febbraio di ogni anno», dovranno essere inserite nei propri siti o portali digitali le informazioni relative «a sovvenzioni, contributi, incarichi retribuiti e comunque a vantaggi economici di qualunque genere ricevuti dalle medesime pubbliche amministrazioni e dai medesimi soggetti nell’anno precedente».</w:t>
      </w:r>
    </w:p>
    <w:p w:rsidR="00CD0DF3" w:rsidRDefault="00CD0DF3">
      <w:pPr>
        <w:rPr>
          <w:rFonts w:ascii="Georgia" w:hAnsi="Georgia"/>
          <w:color w:val="1A171B"/>
          <w:sz w:val="27"/>
          <w:szCs w:val="27"/>
          <w:shd w:val="clear" w:color="auto" w:fill="F5E5D5"/>
        </w:rPr>
      </w:pPr>
      <w:r>
        <w:rPr>
          <w:rFonts w:ascii="Georgia" w:hAnsi="Georgia"/>
          <w:color w:val="1A171B"/>
          <w:sz w:val="27"/>
          <w:szCs w:val="27"/>
          <w:shd w:val="clear" w:color="auto" w:fill="F5E5D5"/>
        </w:rPr>
        <w:t> La sezione dedicata all’amministrazione trasparente, in pratica, dovrebbe essere così trasferita di peso nei siti di tutti gli enti non commerciali.</w:t>
      </w:r>
    </w:p>
    <w:p w:rsidR="004B3001" w:rsidRDefault="00230C79">
      <w:pPr>
        <w:rPr>
          <w:rFonts w:ascii="Georgia" w:hAnsi="Georgia"/>
          <w:color w:val="1A171B"/>
          <w:sz w:val="27"/>
          <w:szCs w:val="27"/>
          <w:shd w:val="clear" w:color="auto" w:fill="F5E5D5"/>
        </w:rPr>
      </w:pPr>
      <w:hyperlink r:id="rId8" w:history="1">
        <w:r w:rsidR="004B3001" w:rsidRPr="00DE7F58">
          <w:rPr>
            <w:rStyle w:val="Collegamentoipertestuale"/>
            <w:rFonts w:ascii="Georgia" w:hAnsi="Georgia"/>
            <w:sz w:val="27"/>
            <w:szCs w:val="27"/>
            <w:shd w:val="clear" w:color="auto" w:fill="F5E5D5"/>
          </w:rPr>
          <w:t>https://youtu.be/WQVibRnQdPI</w:t>
        </w:r>
      </w:hyperlink>
      <w:r w:rsidR="004B3001"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 </w:t>
      </w:r>
    </w:p>
    <w:p w:rsidR="00121ABA" w:rsidRDefault="002561A5" w:rsidP="00121ABA">
      <w:pPr>
        <w:rPr>
          <w:rFonts w:cs="Miriam"/>
          <w:i/>
          <w:color w:val="C00000"/>
          <w:sz w:val="48"/>
          <w:szCs w:val="48"/>
          <w:shd w:val="clear" w:color="auto" w:fill="F5E5D5"/>
        </w:rPr>
      </w:pPr>
      <w:r>
        <w:rPr>
          <w:rFonts w:cs="Miriam"/>
          <w:i/>
          <w:color w:val="C00000"/>
          <w:sz w:val="48"/>
          <w:szCs w:val="48"/>
          <w:shd w:val="clear" w:color="auto" w:fill="F5E5D5"/>
        </w:rPr>
        <w:lastRenderedPageBreak/>
        <w:t>PROBLEMI PRATICI …</w:t>
      </w:r>
    </w:p>
    <w:p w:rsidR="006C4E77" w:rsidRPr="00121ABA" w:rsidRDefault="002561A5" w:rsidP="00121ABA">
      <w:pPr>
        <w:pStyle w:val="Paragrafoelenco"/>
        <w:numPr>
          <w:ilvl w:val="0"/>
          <w:numId w:val="2"/>
        </w:numPr>
        <w:rPr>
          <w:rFonts w:cs="Miriam"/>
          <w:i/>
          <w:color w:val="C00000"/>
          <w:sz w:val="48"/>
          <w:szCs w:val="48"/>
          <w:shd w:val="clear" w:color="auto" w:fill="F5E5D5"/>
        </w:rPr>
      </w:pPr>
      <w:r w:rsidRPr="00121ABA">
        <w:rPr>
          <w:rFonts w:ascii="Georgia" w:hAnsi="Georgia"/>
          <w:color w:val="1A171B"/>
          <w:sz w:val="27"/>
          <w:szCs w:val="27"/>
          <w:shd w:val="clear" w:color="auto" w:fill="F5E5D5"/>
        </w:rPr>
        <w:t>“</w:t>
      </w:r>
      <w:r w:rsidR="00CD0DF3" w:rsidRPr="00121ABA">
        <w:rPr>
          <w:rFonts w:ascii="Georgia" w:hAnsi="Georgia" w:cs="Georgia"/>
          <w:color w:val="1A171B"/>
          <w:sz w:val="27"/>
          <w:szCs w:val="27"/>
          <w:shd w:val="clear" w:color="auto" w:fill="F5E5D5"/>
        </w:rPr>
        <w:t>La norma - dicono dall’Anticorruzione - va nella giusta direzione, in una logica di trasparenza che viene giustamente estesa anche a soggetti privati d</w:t>
      </w:r>
      <w:r w:rsidRPr="00121ABA">
        <w:rPr>
          <w:rFonts w:ascii="Georgia" w:hAnsi="Georgia" w:cs="Georgia"/>
          <w:color w:val="1A171B"/>
          <w:sz w:val="27"/>
          <w:szCs w:val="27"/>
          <w:shd w:val="clear" w:color="auto" w:fill="F5E5D5"/>
        </w:rPr>
        <w:t>estinatari di risorse pubbliche</w:t>
      </w:r>
      <w:r w:rsidR="00CD0DF3" w:rsidRPr="00121ABA">
        <w:rPr>
          <w:rFonts w:ascii="Georgia" w:hAnsi="Georgia" w:cs="Georgia"/>
          <w:color w:val="1A171B"/>
          <w:sz w:val="27"/>
          <w:szCs w:val="27"/>
          <w:shd w:val="clear" w:color="auto" w:fill="F5E5D5"/>
        </w:rPr>
        <w:t>. Se guardiamo all’applicazione pratica, però - dicono ancora d</w:t>
      </w:r>
      <w:r w:rsidRPr="00121ABA"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all’Authority – </w:t>
      </w:r>
      <w:r w:rsidR="00CD0DF3" w:rsidRPr="00121ABA"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il dettato non sembra in grado di imporla davvero, perché </w:t>
      </w:r>
      <w:r w:rsidR="00CD0DF3" w:rsidRPr="00121ABA">
        <w:rPr>
          <w:rFonts w:ascii="Georgia" w:hAnsi="Georgia"/>
          <w:b/>
          <w:sz w:val="27"/>
          <w:szCs w:val="27"/>
          <w:shd w:val="clear" w:color="auto" w:fill="F5E5D5"/>
        </w:rPr>
        <w:t>non stabilisce a chi spetta la vigilanza</w:t>
      </w:r>
      <w:r w:rsidR="00CD0DF3" w:rsidRPr="00121ABA"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, chi è tenuto a irrogare le sanzioni e quali sono le conseguenze di una eventuale rifiuto </w:t>
      </w:r>
      <w:r w:rsidRPr="00121ABA">
        <w:rPr>
          <w:rFonts w:ascii="Georgia" w:hAnsi="Georgia"/>
          <w:color w:val="1A171B"/>
          <w:sz w:val="27"/>
          <w:szCs w:val="27"/>
          <w:shd w:val="clear" w:color="auto" w:fill="F5E5D5"/>
        </w:rPr>
        <w:t>a restituire le somme percepite”</w:t>
      </w:r>
      <w:r w:rsidR="00CD0DF3" w:rsidRPr="00121ABA">
        <w:rPr>
          <w:rFonts w:ascii="Georgia" w:hAnsi="Georgia"/>
          <w:color w:val="1A171B"/>
          <w:sz w:val="27"/>
          <w:szCs w:val="27"/>
          <w:shd w:val="clear" w:color="auto" w:fill="F5E5D5"/>
        </w:rPr>
        <w:t>.</w:t>
      </w:r>
    </w:p>
    <w:p w:rsidR="002561A5" w:rsidRDefault="00F90F81" w:rsidP="00F90F81">
      <w:pPr>
        <w:pStyle w:val="NormaleWeb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Georgia" w:hAnsi="Georgia"/>
          <w:color w:val="1A171B"/>
          <w:sz w:val="27"/>
          <w:szCs w:val="27"/>
          <w:shd w:val="clear" w:color="auto" w:fill="F5E5D5"/>
        </w:rPr>
      </w:pPr>
      <w:r>
        <w:rPr>
          <w:rFonts w:ascii="Georgia" w:hAnsi="Georgia"/>
          <w:color w:val="1A171B"/>
          <w:sz w:val="27"/>
          <w:szCs w:val="27"/>
          <w:shd w:val="clear" w:color="auto" w:fill="F5E5D5"/>
        </w:rPr>
        <w:t>Secondo l’</w:t>
      </w:r>
      <w:proofErr w:type="spellStart"/>
      <w:r>
        <w:rPr>
          <w:rFonts w:ascii="Georgia" w:hAnsi="Georgia"/>
          <w:color w:val="1A171B"/>
          <w:sz w:val="27"/>
          <w:szCs w:val="27"/>
          <w:shd w:val="clear" w:color="auto" w:fill="F5E5D5"/>
        </w:rPr>
        <w:t>Anac</w:t>
      </w:r>
      <w:proofErr w:type="spellEnd"/>
      <w:r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  </w:t>
      </w:r>
      <w:r w:rsidR="002561A5">
        <w:rPr>
          <w:rFonts w:ascii="Georgia" w:hAnsi="Georgia"/>
          <w:color w:val="1A171B"/>
          <w:sz w:val="27"/>
          <w:szCs w:val="27"/>
          <w:shd w:val="clear" w:color="auto" w:fill="F5E5D5"/>
        </w:rPr>
        <w:t>Manca</w:t>
      </w:r>
      <w:r>
        <w:rPr>
          <w:rFonts w:ascii="Georgia" w:hAnsi="Georgia"/>
          <w:color w:val="1A171B"/>
          <w:sz w:val="27"/>
          <w:szCs w:val="27"/>
          <w:shd w:val="clear" w:color="auto" w:fill="F5E5D5"/>
        </w:rPr>
        <w:t>,</w:t>
      </w:r>
      <w:r w:rsidR="002561A5"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 dunque,  una figura che </w:t>
      </w:r>
      <w:r w:rsidR="002561A5" w:rsidRPr="002561A5">
        <w:rPr>
          <w:rFonts w:ascii="Georgia" w:hAnsi="Georgia"/>
          <w:i/>
          <w:color w:val="1A171B"/>
          <w:sz w:val="27"/>
          <w:szCs w:val="27"/>
          <w:shd w:val="clear" w:color="auto" w:fill="F5E5D5"/>
        </w:rPr>
        <w:t>rappresenti</w:t>
      </w:r>
      <w:r w:rsidR="002561A5">
        <w:rPr>
          <w:rFonts w:ascii="Georgia" w:hAnsi="Georgia"/>
          <w:color w:val="1A171B"/>
          <w:sz w:val="27"/>
          <w:szCs w:val="27"/>
          <w:shd w:val="clear" w:color="auto" w:fill="F5E5D5"/>
        </w:rPr>
        <w:t xml:space="preserve"> la Riforma.</w:t>
      </w:r>
    </w:p>
    <w:p w:rsidR="00121ABA" w:rsidRPr="00121ABA" w:rsidRDefault="00121ABA" w:rsidP="00121ABA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textAlignment w:val="baseline"/>
        <w:rPr>
          <w:rStyle w:val="Enfasigrassetto"/>
          <w:rFonts w:ascii="Arial" w:hAnsi="Arial" w:cs="Arial"/>
          <w:color w:val="C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>Non è chiaro</w:t>
      </w:r>
      <w:r w:rsidRPr="00121ABA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 xml:space="preserve"> se l’obbligo di pubblicazione decorra già a partire </w:t>
      </w:r>
      <w:r w:rsidRPr="00F90F81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>dal </w:t>
      </w:r>
      <w:r w:rsidRPr="00F90F81">
        <w:rPr>
          <w:rStyle w:val="Enfasigrassetto"/>
          <w:rFonts w:ascii="Georgia" w:hAnsi="Georgia" w:cs="Arial"/>
          <w:b w:val="0"/>
          <w:color w:val="211E1C"/>
          <w:sz w:val="28"/>
          <w:szCs w:val="28"/>
          <w:bdr w:val="none" w:sz="0" w:space="0" w:color="auto" w:frame="1"/>
          <w:shd w:val="clear" w:color="auto" w:fill="FDE9D9" w:themeFill="accent6" w:themeFillTint="33"/>
        </w:rPr>
        <w:t>prossimo 28 febbraio per i contributi ricevuti nell’anno</w:t>
      </w:r>
      <w:r w:rsidRPr="00F90F81">
        <w:rPr>
          <w:rStyle w:val="Enfasigrassetto"/>
          <w:rFonts w:ascii="Georgia" w:hAnsi="Georgia" w:cs="Arial"/>
          <w:color w:val="211E1C"/>
          <w:sz w:val="28"/>
          <w:szCs w:val="28"/>
          <w:bdr w:val="none" w:sz="0" w:space="0" w:color="auto" w:frame="1"/>
          <w:shd w:val="clear" w:color="auto" w:fill="FDE9D9" w:themeFill="accent6" w:themeFillTint="33"/>
        </w:rPr>
        <w:t xml:space="preserve"> </w:t>
      </w:r>
      <w:r w:rsidRPr="00F90F81">
        <w:rPr>
          <w:rStyle w:val="Enfasigrassetto"/>
          <w:rFonts w:ascii="Georgia" w:hAnsi="Georgia" w:cs="Arial"/>
          <w:b w:val="0"/>
          <w:color w:val="211E1C"/>
          <w:sz w:val="28"/>
          <w:szCs w:val="28"/>
          <w:bdr w:val="none" w:sz="0" w:space="0" w:color="auto" w:frame="1"/>
          <w:shd w:val="clear" w:color="auto" w:fill="FDE9D9" w:themeFill="accent6" w:themeFillTint="33"/>
        </w:rPr>
        <w:t>2017</w:t>
      </w:r>
      <w:r w:rsidRPr="00F90F81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> o se il</w:t>
      </w:r>
      <w:r w:rsidRPr="00121ABA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 xml:space="preserve"> </w:t>
      </w:r>
      <w:r w:rsidR="00F90F81" w:rsidRPr="00F90F81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 xml:space="preserve">tutto </w:t>
      </w:r>
      <w:r w:rsidRPr="00F90F81">
        <w:rPr>
          <w:rFonts w:asciiTheme="minorHAnsi" w:hAnsiTheme="minorHAnsi" w:cs="Arial"/>
          <w:color w:val="211E1C"/>
          <w:sz w:val="28"/>
          <w:szCs w:val="28"/>
          <w:shd w:val="clear" w:color="auto" w:fill="FFFFFF"/>
        </w:rPr>
        <w:t xml:space="preserve"> </w:t>
      </w:r>
      <w:r w:rsidRPr="00F90F81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>sia da ottemperare a partire dal 2019. L’</w:t>
      </w:r>
      <w:proofErr w:type="spellStart"/>
      <w:r w:rsidRPr="00F90F81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>Anac</w:t>
      </w:r>
      <w:proofErr w:type="spellEnd"/>
      <w:r w:rsidR="00CB5B8C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 xml:space="preserve"> </w:t>
      </w:r>
      <w:r w:rsidR="00CB5B8C" w:rsidRPr="001B7751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>(Autorità nazionale anticorruzione,</w:t>
      </w:r>
      <w:r w:rsidR="00CB5B8C" w:rsidRPr="001B775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 guidata da Raffaele Cantone</w:t>
      </w:r>
      <w:r w:rsidR="00CB5B8C" w:rsidRPr="001B7751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>)</w:t>
      </w:r>
      <w:r w:rsidRPr="00F90F81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>, interpellata sul</w:t>
      </w:r>
      <w:r w:rsidRPr="00121ABA">
        <w:rPr>
          <w:rFonts w:ascii="Georgia" w:hAnsi="Georgia" w:cs="Arial"/>
          <w:color w:val="211E1C"/>
          <w:sz w:val="28"/>
          <w:szCs w:val="28"/>
          <w:shd w:val="clear" w:color="auto" w:fill="FDE9D9" w:themeFill="accent6" w:themeFillTint="33"/>
        </w:rPr>
        <w:t xml:space="preserve"> tema dal Sole 24 ore, lamenta che la norma, pure andando nella giusta direzione, sarà difficilmente applicabile nell’immediato appunto  perché non stabilisce a chi spetta la vigilanza. In breve, </w:t>
      </w:r>
      <w:r w:rsidRPr="00121ABA">
        <w:rPr>
          <w:rStyle w:val="Enfasigrassetto"/>
          <w:rFonts w:ascii="Georgia" w:hAnsi="Georgia" w:cs="Arial"/>
          <w:sz w:val="28"/>
          <w:szCs w:val="28"/>
          <w:bdr w:val="none" w:sz="0" w:space="0" w:color="auto" w:frame="1"/>
          <w:shd w:val="clear" w:color="auto" w:fill="FDE9D9" w:themeFill="accent6" w:themeFillTint="33"/>
        </w:rPr>
        <w:t>all’Anticorruzione  danno per scontato che gli obblighi di pubblicazione non possano partire già dal prossimo 28 febbraio.</w:t>
      </w:r>
    </w:p>
    <w:p w:rsidR="00121ABA" w:rsidRDefault="00121ABA" w:rsidP="00121ABA">
      <w:pPr>
        <w:pStyle w:val="NormaleWeb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Georgia" w:hAnsi="Georgia"/>
          <w:color w:val="1A171B"/>
          <w:sz w:val="27"/>
          <w:szCs w:val="27"/>
          <w:shd w:val="clear" w:color="auto" w:fill="F5E5D5"/>
        </w:rPr>
      </w:pPr>
    </w:p>
    <w:p w:rsidR="006C4E77" w:rsidRPr="00F90F81" w:rsidRDefault="006C4E77" w:rsidP="00F90F81">
      <w:pPr>
        <w:pStyle w:val="NormaleWeb"/>
        <w:shd w:val="clear" w:color="auto" w:fill="FDE9D9" w:themeFill="accent6" w:themeFillTint="33"/>
        <w:spacing w:before="0" w:beforeAutospacing="0" w:after="225" w:afterAutospacing="0"/>
        <w:textAlignment w:val="baseline"/>
        <w:rPr>
          <w:rFonts w:asciiTheme="minorHAnsi" w:hAnsiTheme="minorHAnsi"/>
          <w:color w:val="C00000"/>
          <w:sz w:val="48"/>
          <w:szCs w:val="48"/>
          <w:shd w:val="clear" w:color="auto" w:fill="F5E5D5"/>
        </w:rPr>
      </w:pPr>
    </w:p>
    <w:p w:rsidR="00F90F81" w:rsidRDefault="00F90F81" w:rsidP="00F90F81">
      <w:pPr>
        <w:pStyle w:val="NormaleWeb"/>
        <w:shd w:val="clear" w:color="auto" w:fill="FDE9D9" w:themeFill="accent6" w:themeFillTint="33"/>
        <w:spacing w:before="0" w:beforeAutospacing="0" w:after="225" w:afterAutospacing="0"/>
        <w:textAlignment w:val="baseline"/>
        <w:rPr>
          <w:rFonts w:asciiTheme="minorHAnsi" w:hAnsiTheme="minorHAnsi"/>
          <w:color w:val="C00000"/>
          <w:sz w:val="48"/>
          <w:szCs w:val="48"/>
        </w:rPr>
      </w:pPr>
      <w:r w:rsidRPr="00F90F81">
        <w:rPr>
          <w:rFonts w:asciiTheme="minorHAnsi" w:hAnsiTheme="minorHAnsi"/>
          <w:color w:val="C00000"/>
          <w:sz w:val="48"/>
          <w:szCs w:val="48"/>
        </w:rPr>
        <w:t xml:space="preserve">REGISTRO UNICO NAZIONALE </w:t>
      </w:r>
    </w:p>
    <w:p w:rsidR="00F90F81" w:rsidRPr="00F90F81" w:rsidRDefault="00F90F81" w:rsidP="00987AD5">
      <w:pPr>
        <w:pStyle w:val="NormaleWeb"/>
        <w:shd w:val="clear" w:color="auto" w:fill="FFFFFF" w:themeFill="background1"/>
        <w:spacing w:before="240" w:beforeAutospacing="0" w:after="225" w:afterAutospacing="0"/>
        <w:contextualSpacing/>
        <w:textAlignment w:val="baseline"/>
        <w:rPr>
          <w:rFonts w:asciiTheme="minorHAnsi" w:hAnsiTheme="minorHAnsi"/>
          <w:color w:val="C00000"/>
          <w:sz w:val="48"/>
          <w:szCs w:val="48"/>
        </w:rPr>
      </w:pPr>
    </w:p>
    <w:p w:rsidR="00881542" w:rsidRPr="00F55D99" w:rsidRDefault="00F55D99" w:rsidP="00F55D99">
      <w:pPr>
        <w:pStyle w:val="NormaleWeb"/>
        <w:shd w:val="clear" w:color="auto" w:fill="FDE9D9" w:themeFill="accent6" w:themeFillTint="33"/>
        <w:spacing w:before="240" w:beforeAutospacing="0" w:after="600" w:afterAutospacing="0"/>
        <w:contextualSpacing/>
        <w:textAlignment w:val="baseline"/>
        <w:rPr>
          <w:rFonts w:asciiTheme="majorHAnsi" w:hAnsiTheme="majorHAnsi"/>
          <w:color w:val="444444"/>
          <w:sz w:val="28"/>
          <w:szCs w:val="28"/>
        </w:rPr>
      </w:pPr>
      <w:r w:rsidRPr="00F55D99">
        <w:rPr>
          <w:rFonts w:asciiTheme="majorHAnsi" w:hAnsiTheme="majorHAnsi"/>
          <w:color w:val="444444"/>
          <w:sz w:val="28"/>
          <w:szCs w:val="28"/>
        </w:rPr>
        <w:t>Il</w:t>
      </w:r>
      <w:r w:rsidR="00881542" w:rsidRPr="00F55D99">
        <w:rPr>
          <w:rFonts w:asciiTheme="majorHAnsi" w:hAnsiTheme="majorHAnsi"/>
          <w:color w:val="444444"/>
          <w:sz w:val="28"/>
          <w:szCs w:val="28"/>
        </w:rPr>
        <w:t xml:space="preserve"> </w:t>
      </w:r>
      <w:r w:rsidR="00987AD5" w:rsidRPr="00F55D99">
        <w:rPr>
          <w:rFonts w:asciiTheme="majorHAnsi" w:hAnsiTheme="majorHAnsi"/>
          <w:b/>
          <w:color w:val="444444"/>
          <w:sz w:val="28"/>
          <w:szCs w:val="28"/>
        </w:rPr>
        <w:t>Registro Unico N</w:t>
      </w:r>
      <w:r w:rsidR="00881542" w:rsidRPr="00F55D99">
        <w:rPr>
          <w:rFonts w:asciiTheme="majorHAnsi" w:hAnsiTheme="majorHAnsi"/>
          <w:b/>
          <w:color w:val="444444"/>
          <w:sz w:val="28"/>
          <w:szCs w:val="28"/>
        </w:rPr>
        <w:t>azionale</w:t>
      </w:r>
      <w:r w:rsidR="00881542" w:rsidRPr="00F55D99">
        <w:rPr>
          <w:rFonts w:asciiTheme="majorHAnsi" w:hAnsiTheme="majorHAnsi"/>
          <w:color w:val="444444"/>
          <w:sz w:val="28"/>
          <w:szCs w:val="28"/>
        </w:rPr>
        <w:t xml:space="preserve"> dovrà essere accessibile in forma telematica a tutti gli interessati.</w:t>
      </w:r>
    </w:p>
    <w:p w:rsidR="00987AD5" w:rsidRPr="00F55D99" w:rsidRDefault="00F55D99" w:rsidP="00F55D99">
      <w:pPr>
        <w:pStyle w:val="NormaleWeb"/>
        <w:shd w:val="clear" w:color="auto" w:fill="FDE9D9" w:themeFill="accent6" w:themeFillTint="33"/>
        <w:spacing w:before="240" w:beforeAutospacing="0" w:after="600" w:afterAutospacing="0"/>
        <w:contextualSpacing/>
        <w:textAlignment w:val="baseline"/>
        <w:rPr>
          <w:rFonts w:asciiTheme="majorHAnsi" w:hAnsiTheme="majorHAnsi"/>
          <w:color w:val="444444"/>
          <w:sz w:val="28"/>
          <w:szCs w:val="28"/>
        </w:rPr>
      </w:pPr>
      <w:r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>D</w:t>
      </w:r>
      <w:r w:rsidR="00987AD5"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>iventerà lo</w:t>
      </w:r>
      <w:r w:rsidR="00987AD5" w:rsidRPr="00F55D99">
        <w:rPr>
          <w:rStyle w:val="Enfasigrassetto"/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> strumento di conoscenza degli enti non profit</w:t>
      </w:r>
      <w:r w:rsidR="00987AD5"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 xml:space="preserve"> in quanto riporterà </w:t>
      </w:r>
      <w:r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>le</w:t>
      </w:r>
      <w:r w:rsidR="00987AD5"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 xml:space="preserve"> loro informazioni di base consentendo a </w:t>
      </w:r>
      <w:r w:rsidR="00987AD5" w:rsidRPr="00F55D99">
        <w:rPr>
          <w:rStyle w:val="Enfasigrassetto"/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>chiunque</w:t>
      </w:r>
      <w:r w:rsidR="00987AD5"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 xml:space="preserve"> di </w:t>
      </w:r>
      <w:r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>conoscere le caratteristiche di</w:t>
      </w:r>
      <w:r w:rsidR="00987AD5" w:rsidRPr="00F55D99">
        <w:rPr>
          <w:rFonts w:asciiTheme="majorHAnsi" w:hAnsiTheme="majorHAnsi"/>
          <w:color w:val="555555"/>
          <w:sz w:val="28"/>
          <w:szCs w:val="28"/>
          <w:shd w:val="clear" w:color="auto" w:fill="FDE9D9" w:themeFill="accent6" w:themeFillTint="33"/>
        </w:rPr>
        <w:t xml:space="preserve"> un'organizzazione</w:t>
      </w:r>
      <w:r w:rsidR="00987AD5" w:rsidRPr="00F55D99">
        <w:rPr>
          <w:rFonts w:asciiTheme="majorHAnsi" w:hAnsiTheme="majorHAnsi"/>
          <w:color w:val="555555"/>
          <w:sz w:val="28"/>
          <w:szCs w:val="28"/>
          <w:shd w:val="clear" w:color="auto" w:fill="FFFFFF"/>
        </w:rPr>
        <w:t>.</w:t>
      </w:r>
    </w:p>
    <w:p w:rsidR="00987AD5" w:rsidRPr="00F90F81" w:rsidRDefault="00987AD5" w:rsidP="00987AD5">
      <w:pPr>
        <w:pStyle w:val="NormaleWeb"/>
        <w:shd w:val="clear" w:color="auto" w:fill="FFFFFF" w:themeFill="background1"/>
        <w:spacing w:before="240" w:beforeAutospacing="0" w:after="600" w:afterAutospacing="0"/>
        <w:contextualSpacing/>
        <w:textAlignment w:val="baseline"/>
        <w:rPr>
          <w:rFonts w:ascii="Georgia" w:hAnsi="Georgia"/>
          <w:color w:val="444444"/>
          <w:sz w:val="28"/>
          <w:szCs w:val="28"/>
        </w:rPr>
      </w:pPr>
    </w:p>
    <w:p w:rsidR="00987AD5" w:rsidRDefault="00F55D99" w:rsidP="00F55D99">
      <w:pPr>
        <w:pStyle w:val="NormaleWeb"/>
        <w:shd w:val="clear" w:color="auto" w:fill="FDE9D9" w:themeFill="accent6" w:themeFillTint="33"/>
        <w:spacing w:before="240" w:beforeAutospacing="0" w:after="600" w:afterAutospacing="0"/>
        <w:contextualSpacing/>
        <w:textAlignment w:val="baseline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hAnsiTheme="majorHAnsi"/>
          <w:color w:val="444444"/>
          <w:sz w:val="28"/>
          <w:szCs w:val="28"/>
        </w:rPr>
        <w:t>Il Registro dovrà essere adottato dagli enti non profit</w:t>
      </w:r>
      <w:r w:rsidR="00987AD5" w:rsidRPr="00987AD5">
        <w:rPr>
          <w:rFonts w:asciiTheme="majorHAnsi" w:hAnsiTheme="majorHAnsi"/>
          <w:color w:val="444444"/>
          <w:sz w:val="28"/>
          <w:szCs w:val="28"/>
        </w:rPr>
        <w:t xml:space="preserve"> entro il 3 febbraio 2019.</w:t>
      </w:r>
    </w:p>
    <w:p w:rsidR="00987AD5" w:rsidRDefault="00987AD5" w:rsidP="00987AD5">
      <w:pPr>
        <w:pStyle w:val="NormaleWeb"/>
        <w:shd w:val="clear" w:color="auto" w:fill="FFFFFF" w:themeFill="background1"/>
        <w:spacing w:before="240" w:beforeAutospacing="0" w:after="600" w:afterAutospacing="0"/>
        <w:contextualSpacing/>
        <w:textAlignment w:val="baseline"/>
        <w:rPr>
          <w:rFonts w:asciiTheme="majorHAnsi" w:hAnsiTheme="majorHAnsi"/>
          <w:color w:val="444444"/>
          <w:sz w:val="28"/>
          <w:szCs w:val="28"/>
        </w:rPr>
      </w:pPr>
    </w:p>
    <w:p w:rsidR="00987AD5" w:rsidRDefault="00987AD5" w:rsidP="00987AD5">
      <w:pPr>
        <w:pStyle w:val="NormaleWeb"/>
        <w:shd w:val="clear" w:color="auto" w:fill="FFFFFF" w:themeFill="background1"/>
        <w:spacing w:before="240" w:beforeAutospacing="0" w:after="600" w:afterAutospacing="0"/>
        <w:contextualSpacing/>
        <w:textAlignment w:val="baseline"/>
        <w:rPr>
          <w:rFonts w:asciiTheme="minorHAnsi" w:hAnsiTheme="minorHAnsi"/>
          <w:color w:val="444444"/>
          <w:sz w:val="48"/>
          <w:szCs w:val="48"/>
        </w:rPr>
      </w:pPr>
    </w:p>
    <w:p w:rsidR="001B7751" w:rsidRPr="00A309F7" w:rsidRDefault="001B7751" w:rsidP="00987AD5">
      <w:pPr>
        <w:pStyle w:val="NormaleWeb"/>
        <w:shd w:val="clear" w:color="auto" w:fill="FFFFFF" w:themeFill="background1"/>
        <w:spacing w:before="240" w:beforeAutospacing="0" w:after="600" w:afterAutospacing="0"/>
        <w:contextualSpacing/>
        <w:textAlignment w:val="baseline"/>
        <w:rPr>
          <w:rFonts w:asciiTheme="minorHAnsi" w:hAnsiTheme="minorHAnsi"/>
          <w:color w:val="444444"/>
          <w:sz w:val="48"/>
          <w:szCs w:val="48"/>
        </w:rPr>
      </w:pPr>
    </w:p>
    <w:p w:rsidR="00A309F7" w:rsidRPr="00A309F7" w:rsidRDefault="00A309F7" w:rsidP="00A309F7">
      <w:pPr>
        <w:pStyle w:val="NormaleWeb"/>
        <w:shd w:val="clear" w:color="auto" w:fill="FDE9D9" w:themeFill="accent6" w:themeFillTint="33"/>
        <w:spacing w:before="0" w:beforeAutospacing="0" w:after="225" w:afterAutospacing="0"/>
        <w:textAlignment w:val="baseline"/>
        <w:rPr>
          <w:rFonts w:asciiTheme="minorHAnsi" w:hAnsiTheme="minorHAnsi"/>
          <w:i/>
          <w:color w:val="C00000"/>
          <w:sz w:val="48"/>
          <w:szCs w:val="48"/>
        </w:rPr>
      </w:pPr>
      <w:r w:rsidRPr="00A309F7">
        <w:rPr>
          <w:rFonts w:asciiTheme="minorHAnsi" w:hAnsiTheme="minorHAnsi"/>
          <w:i/>
          <w:color w:val="C00000"/>
          <w:sz w:val="48"/>
          <w:szCs w:val="48"/>
        </w:rPr>
        <w:lastRenderedPageBreak/>
        <w:t>PERSONALITÀ GIURIDICA</w:t>
      </w:r>
    </w:p>
    <w:p w:rsidR="00F55D99" w:rsidRDefault="00F55D99" w:rsidP="00881542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p w:rsidR="00A309F7" w:rsidRPr="00F55D99" w:rsidRDefault="00A309F7" w:rsidP="00881542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color w:val="444444"/>
          <w:sz w:val="28"/>
          <w:szCs w:val="28"/>
          <w:shd w:val="clear" w:color="auto" w:fill="FFFFFF"/>
        </w:rPr>
      </w:pPr>
      <w:r w:rsidRPr="00F55D99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È </w:t>
      </w:r>
      <w:r w:rsidR="00881542" w:rsidRPr="00F55D99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la possibilità per l’ente di essere riconosciuto e quindi di separare il proprio patrimonio da quello degli amministratori.</w:t>
      </w:r>
      <w:r w:rsidR="00881542" w:rsidRPr="001B7751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  </w:t>
      </w:r>
      <w:r w:rsidR="001B7751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P</w:t>
      </w:r>
      <w:r w:rsidR="00881542" w:rsidRPr="00F55D99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er ottenere la personalità giuridica, l’ente dovrà avere un patrimonio minimo </w:t>
      </w:r>
      <w:r w:rsidRPr="00F55D99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di </w:t>
      </w:r>
      <w:r w:rsidR="00881542" w:rsidRPr="00F55D99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almeno € 15.000 per le associazioni e € 30.000 per le fondazioni</w:t>
      </w:r>
      <w:r w:rsidRPr="00F55D99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.</w:t>
      </w:r>
    </w:p>
    <w:p w:rsidR="00A309F7" w:rsidRPr="00F55D99" w:rsidRDefault="00F55D99" w:rsidP="00F55D99">
      <w:pPr>
        <w:pStyle w:val="NormaleWeb"/>
        <w:shd w:val="clear" w:color="auto" w:fill="FDE9D9" w:themeFill="accent6" w:themeFillTint="33"/>
        <w:spacing w:before="0" w:beforeAutospacing="0" w:after="225" w:afterAutospacing="0"/>
        <w:textAlignment w:val="baseline"/>
        <w:rPr>
          <w:rFonts w:asciiTheme="minorHAnsi" w:hAnsiTheme="minorHAnsi"/>
          <w:i/>
          <w:color w:val="C00000"/>
          <w:sz w:val="48"/>
          <w:szCs w:val="48"/>
          <w:shd w:val="clear" w:color="auto" w:fill="FFFFFF"/>
        </w:rPr>
      </w:pPr>
      <w:r w:rsidRPr="00F55D99">
        <w:rPr>
          <w:rFonts w:asciiTheme="minorHAnsi" w:hAnsiTheme="minorHAnsi"/>
          <w:i/>
          <w:color w:val="C00000"/>
          <w:sz w:val="48"/>
          <w:szCs w:val="48"/>
          <w:shd w:val="clear" w:color="auto" w:fill="FDE9D9" w:themeFill="accent6" w:themeFillTint="33"/>
        </w:rPr>
        <w:t>AGEVOLAZIONI FISCALI</w:t>
      </w:r>
    </w:p>
    <w:p w:rsidR="00881542" w:rsidRDefault="00881542" w:rsidP="00881542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color w:val="444444"/>
          <w:sz w:val="28"/>
          <w:szCs w:val="28"/>
        </w:rPr>
      </w:pPr>
      <w:r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 Le persone fi</w:t>
      </w:r>
      <w:r w:rsidR="00DF0C7B"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siche che effettuano donazioni </w:t>
      </w:r>
      <w:r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a favore di enti del terzo settore possono usufruire di una detrazione sulle proprie imposte d</w:t>
      </w:r>
      <w:r w:rsidR="00DF0C7B"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el 30% dell’importo corrisposto, </w:t>
      </w:r>
      <w:r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con un tetto di € 30.000 annui. La detrazione sale al 35% se la somma in denaro è erogata a favore di un’organizzazione di volontariato.</w:t>
      </w:r>
      <w:r w:rsidR="00DF0C7B"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 </w:t>
      </w:r>
      <w:r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La riforma</w:t>
      </w:r>
      <w:r w:rsidR="00DF0C7B"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 prevede infine il social bonus,</w:t>
      </w:r>
      <w:r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 ossia un credito d’imposta sulle donazioni in denaro a favore degli enti del terzo settore che hanno presentato al Ministero del lavoro un progetto finalizzato al recupero di </w:t>
      </w:r>
      <w:r w:rsidR="00DF0C7B"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>beni inutilizzati o</w:t>
      </w:r>
      <w:r w:rsidRPr="00DF0C7B">
        <w:rPr>
          <w:rFonts w:asciiTheme="majorHAnsi" w:hAnsiTheme="majorHAnsi"/>
          <w:color w:val="444444"/>
          <w:sz w:val="28"/>
          <w:szCs w:val="28"/>
          <w:shd w:val="clear" w:color="auto" w:fill="FDE9D9" w:themeFill="accent6" w:themeFillTint="33"/>
        </w:rPr>
        <w:t xml:space="preserve"> confiscati alla criminalità organizzata. Le persone fisiche e gli enti non commerciali possono beneficiare di tale credito</w:t>
      </w:r>
      <w:r w:rsidR="00DF0C7B" w:rsidRPr="00DF0C7B">
        <w:rPr>
          <w:rFonts w:asciiTheme="majorHAnsi" w:hAnsiTheme="majorHAnsi"/>
          <w:color w:val="444444"/>
          <w:sz w:val="28"/>
          <w:szCs w:val="28"/>
        </w:rPr>
        <w:t>.</w:t>
      </w:r>
    </w:p>
    <w:p w:rsidR="00DF0C7B" w:rsidRDefault="00DF0C7B" w:rsidP="00881542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Theme="majorHAnsi" w:hAnsiTheme="majorHAnsi"/>
          <w:color w:val="444444"/>
          <w:sz w:val="28"/>
          <w:szCs w:val="28"/>
        </w:rPr>
      </w:pPr>
    </w:p>
    <w:p w:rsidR="00DF0C7B" w:rsidRPr="00DF0C7B" w:rsidRDefault="00DF0C7B" w:rsidP="00DF0C7B">
      <w:pPr>
        <w:pStyle w:val="NormaleWeb"/>
        <w:shd w:val="clear" w:color="auto" w:fill="FDE9D9" w:themeFill="accent6" w:themeFillTint="33"/>
        <w:spacing w:before="0" w:beforeAutospacing="0" w:after="225" w:afterAutospacing="0"/>
        <w:textAlignment w:val="baseline"/>
        <w:rPr>
          <w:rFonts w:asciiTheme="majorHAnsi" w:hAnsiTheme="majorHAnsi"/>
          <w:color w:val="C00000"/>
          <w:sz w:val="48"/>
          <w:szCs w:val="48"/>
        </w:rPr>
      </w:pPr>
      <w:r w:rsidRPr="00DF0C7B">
        <w:rPr>
          <w:rFonts w:asciiTheme="majorHAnsi" w:hAnsiTheme="majorHAnsi"/>
          <w:color w:val="C00000"/>
          <w:sz w:val="48"/>
          <w:szCs w:val="48"/>
        </w:rPr>
        <w:t>LA RIFORMA IN BREVE :</w:t>
      </w:r>
    </w:p>
    <w:p w:rsidR="00881542" w:rsidRDefault="00881542" w:rsidP="00D144AF">
      <w:pPr>
        <w:pStyle w:val="NormaleWeb"/>
        <w:shd w:val="clear" w:color="auto" w:fill="FDE9D9" w:themeFill="accent6" w:themeFillTint="33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p w:rsidR="00DF0C7B" w:rsidRPr="00D144AF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32"/>
          <w:szCs w:val="32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25/</w:t>
      </w:r>
      <w:r w:rsidR="00CB5B8C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0</w:t>
      </w: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5/2017:</w:t>
      </w:r>
      <w:r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 w:rsidR="00D144AF" w:rsidRPr="00D144AF">
        <w:rPr>
          <w:rFonts w:ascii="Arial" w:eastAsia="Times New Roman" w:hAnsi="Arial" w:cs="Arial"/>
          <w:b/>
          <w:bCs/>
          <w:color w:val="333333"/>
          <w:sz w:val="21"/>
          <w:shd w:val="clear" w:color="auto" w:fill="FDE9D9" w:themeFill="accent6" w:themeFillTint="33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Approvata in via definitiva la L. 106/2016 “Delega al governo per il Codice del Terzo Settore, 5 per mille, impresa sociale e servizio civile universale”.</w:t>
      </w:r>
    </w:p>
    <w:p w:rsidR="00DF0C7B" w:rsidRPr="001B5E91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DF0C7B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6/</w:t>
      </w:r>
      <w:r w:rsidR="00CB5B8C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0</w:t>
      </w: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6/2017:</w:t>
      </w:r>
      <w:r w:rsidR="00D144AF">
        <w:rPr>
          <w:rFonts w:ascii="Arial" w:eastAsia="Times New Roman" w:hAnsi="Arial" w:cs="Arial"/>
          <w:b/>
          <w:bCs/>
          <w:color w:val="C00000"/>
          <w:sz w:val="21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 xml:space="preserve">Licenziato il primo decreto attuativo vigente prima della </w:t>
      </w:r>
      <w:r w:rsidRPr="00D144AF">
        <w:rPr>
          <w:rFonts w:eastAsia="Times New Roman" w:cs="Arial"/>
          <w:color w:val="333333"/>
          <w:sz w:val="32"/>
          <w:szCs w:val="32"/>
          <w:lang w:eastAsia="it-IT"/>
        </w:rPr>
        <w:t>riforma</w:t>
      </w:r>
      <w:r w:rsidR="00D144AF">
        <w:rPr>
          <w:rFonts w:eastAsia="Times New Roman" w:cs="Arial"/>
          <w:color w:val="333333"/>
          <w:sz w:val="32"/>
          <w:szCs w:val="32"/>
          <w:lang w:eastAsia="it-IT"/>
        </w:rPr>
        <w:t>.</w:t>
      </w:r>
    </w:p>
    <w:p w:rsidR="00DF0C7B" w:rsidRPr="001B5E91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DF0C7B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3/</w:t>
      </w:r>
      <w:r w:rsidR="00CB5B8C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0</w:t>
      </w: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7/2017:</w:t>
      </w:r>
      <w:r w:rsidR="00D144AF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 w:rsidRPr="00D144AF">
        <w:rPr>
          <w:rFonts w:eastAsia="Times New Roman" w:cs="Arial"/>
          <w:b/>
          <w:bCs/>
          <w:color w:val="333333"/>
          <w:sz w:val="32"/>
          <w:szCs w:val="32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Licenziati i restanti decreti vigenti prima della riforma</w:t>
      </w:r>
      <w:r w:rsidR="00D144AF"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.</w:t>
      </w:r>
      <w:r w:rsidR="003C0A5B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 xml:space="preserve"> Attuazione della legge delega del 25/05/17 tramite il </w:t>
      </w:r>
      <w:proofErr w:type="spellStart"/>
      <w:r w:rsidR="003C0A5B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D.Lgs.</w:t>
      </w:r>
      <w:proofErr w:type="spellEnd"/>
      <w:r w:rsidR="003C0A5B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 xml:space="preserve"> n°117 </w:t>
      </w:r>
    </w:p>
    <w:p w:rsidR="00DF0C7B" w:rsidRPr="001B5E91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DF0C7B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18/11/2017:</w:t>
      </w:r>
      <w:r w:rsidR="00D144AF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Varo de DPCM sul 5 per mille (modalità di accreditamento, criteri di riparto delle scelte non espresse, pubblicazione del rendiconto).</w:t>
      </w:r>
    </w:p>
    <w:p w:rsidR="00DF0C7B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DF0C7B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1/</w:t>
      </w:r>
      <w:r w:rsidR="00CB5B8C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0</w:t>
      </w: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1/2018:</w:t>
      </w:r>
      <w:r w:rsidR="00D144AF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Entrata in vigore degli incentivi a favore delle erogazioni liberali e delle esenzioni ai fini delle imposte indirette.</w:t>
      </w:r>
    </w:p>
    <w:p w:rsidR="00DF0C7B" w:rsidRPr="001B5E91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DF0C7B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lastRenderedPageBreak/>
        <w:t>3/</w:t>
      </w:r>
      <w:r w:rsidR="00CB5B8C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0</w:t>
      </w: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7/2018:</w:t>
      </w:r>
      <w:r w:rsidR="00D144AF">
        <w:rPr>
          <w:rFonts w:ascii="Arial" w:eastAsia="Times New Roman" w:hAnsi="Arial" w:cs="Arial"/>
          <w:b/>
          <w:bCs/>
          <w:color w:val="C00000"/>
          <w:sz w:val="21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Termine ultimo entro cui il Governo potrà modificare i decreti attuativi della legge delega</w:t>
      </w:r>
      <w:r w:rsidR="00D144AF"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.</w:t>
      </w:r>
    </w:p>
    <w:p w:rsidR="00CB5B8C" w:rsidRDefault="00CB5B8C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</w:pPr>
    </w:p>
    <w:p w:rsidR="003C0A5B" w:rsidRPr="00D144AF" w:rsidRDefault="003C0A5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32"/>
          <w:szCs w:val="32"/>
          <w:lang w:eastAsia="it-IT"/>
        </w:rPr>
      </w:pPr>
      <w:r w:rsidRPr="00CB5B8C">
        <w:rPr>
          <w:rFonts w:ascii="Arial" w:eastAsia="Times New Roman" w:hAnsi="Arial" w:cs="Arial"/>
          <w:b/>
          <w:color w:val="C00000"/>
          <w:sz w:val="32"/>
          <w:szCs w:val="32"/>
          <w:shd w:val="clear" w:color="auto" w:fill="FDE9D9" w:themeFill="accent6" w:themeFillTint="33"/>
          <w:lang w:eastAsia="it-IT"/>
        </w:rPr>
        <w:t>3/08/2018:</w:t>
      </w:r>
      <w:r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 xml:space="preserve"> correzione e modifica del precedente, tramite il </w:t>
      </w:r>
      <w:proofErr w:type="spellStart"/>
      <w:r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D.Lgs</w:t>
      </w:r>
      <w:proofErr w:type="spellEnd"/>
      <w:r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 xml:space="preserve"> n</w:t>
      </w:r>
      <w:r w:rsidR="00CB5B8C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°105</w:t>
      </w:r>
    </w:p>
    <w:p w:rsidR="00DF0C7B" w:rsidRPr="001B5E91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DF0C7B" w:rsidRPr="00D144AF" w:rsidRDefault="00DF0C7B" w:rsidP="00D144AF">
      <w:pPr>
        <w:shd w:val="clear" w:color="auto" w:fill="FDE9D9" w:themeFill="accent6" w:themeFillTint="33"/>
        <w:spacing w:after="0" w:line="240" w:lineRule="auto"/>
        <w:jc w:val="both"/>
        <w:textAlignment w:val="baseline"/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</w:pPr>
      <w:r w:rsidRPr="00D144AF">
        <w:rPr>
          <w:rFonts w:ascii="Arial" w:eastAsia="Times New Roman" w:hAnsi="Arial" w:cs="Arial"/>
          <w:b/>
          <w:bCs/>
          <w:color w:val="C00000"/>
          <w:sz w:val="32"/>
          <w:szCs w:val="32"/>
          <w:lang w:eastAsia="it-IT"/>
        </w:rPr>
        <w:t>1/1/2019:</w:t>
      </w:r>
      <w:r w:rsidR="00D144AF">
        <w:rPr>
          <w:rFonts w:ascii="Arial" w:eastAsia="Times New Roman" w:hAnsi="Arial" w:cs="Arial"/>
          <w:b/>
          <w:bCs/>
          <w:color w:val="C00000"/>
          <w:sz w:val="21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 xml:space="preserve"> </w:t>
      </w:r>
      <w:r w:rsidRPr="00D144AF">
        <w:rPr>
          <w:rFonts w:eastAsia="Times New Roman" w:cs="Arial"/>
          <w:color w:val="333333"/>
          <w:sz w:val="32"/>
          <w:szCs w:val="32"/>
          <w:shd w:val="clear" w:color="auto" w:fill="FDE9D9" w:themeFill="accent6" w:themeFillTint="33"/>
          <w:lang w:eastAsia="it-IT"/>
        </w:rPr>
        <w:t>Entrata in funzione del Registro Unico Nazionale del Terzo Settore (RUNTS). La qualifica di Onlus esce dall’ordinamento.</w:t>
      </w:r>
    </w:p>
    <w:p w:rsidR="001966E1" w:rsidRDefault="001966E1" w:rsidP="00CD0DF3"/>
    <w:p w:rsidR="001966E1" w:rsidRDefault="001966E1" w:rsidP="00CD0DF3"/>
    <w:p w:rsidR="001966E1" w:rsidRPr="001966E1" w:rsidRDefault="001966E1" w:rsidP="001966E1">
      <w:pPr>
        <w:jc w:val="center"/>
        <w:rPr>
          <w:rFonts w:asciiTheme="majorHAnsi" w:hAnsiTheme="majorHAnsi"/>
          <w:color w:val="C00000"/>
          <w:sz w:val="56"/>
          <w:szCs w:val="56"/>
        </w:rPr>
      </w:pPr>
      <w:r w:rsidRPr="001966E1">
        <w:rPr>
          <w:rFonts w:asciiTheme="majorHAnsi" w:hAnsiTheme="majorHAnsi"/>
          <w:color w:val="C00000"/>
          <w:sz w:val="56"/>
          <w:szCs w:val="56"/>
        </w:rPr>
        <w:t>SITOLOGIA</w:t>
      </w:r>
    </w:p>
    <w:p w:rsidR="001966E1" w:rsidRDefault="00230C79" w:rsidP="00CD0DF3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9" w:history="1">
        <w:r w:rsidR="001966E1" w:rsidRPr="00DE7F58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https://italianonprofit.it/</w:t>
        </w:r>
      </w:hyperlink>
    </w:p>
    <w:p w:rsidR="001966E1" w:rsidRDefault="00230C79" w:rsidP="00CD0DF3">
      <w:hyperlink r:id="rId10" w:history="1">
        <w:r w:rsidR="001966E1" w:rsidRPr="00DE7F58">
          <w:rPr>
            <w:rStyle w:val="Collegamentoipertestuale"/>
          </w:rPr>
          <w:t>https://csvpadova.org/</w:t>
        </w:r>
      </w:hyperlink>
    </w:p>
    <w:p w:rsidR="001966E1" w:rsidRDefault="00230C79" w:rsidP="00CD0DF3">
      <w:hyperlink r:id="rId11" w:history="1">
        <w:r w:rsidR="001966E1" w:rsidRPr="00DE7F58">
          <w:rPr>
            <w:rStyle w:val="Collegamentoipertestuale"/>
          </w:rPr>
          <w:t>http://www.volontariatotorino.it/</w:t>
        </w:r>
      </w:hyperlink>
    </w:p>
    <w:p w:rsidR="001966E1" w:rsidRDefault="001B7751" w:rsidP="00CD0DF3">
      <w:hyperlink r:id="rId12" w:history="1">
        <w:r w:rsidRPr="00E123AC">
          <w:rPr>
            <w:rStyle w:val="Collegamentoipertestuale"/>
          </w:rPr>
          <w:t>https://www.leggioggi.it/</w:t>
        </w:r>
      </w:hyperlink>
      <w:r>
        <w:t xml:space="preserve">     </w:t>
      </w:r>
    </w:p>
    <w:sectPr w:rsidR="001966E1" w:rsidSect="00731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3"/>
    <w:multiLevelType w:val="hybridMultilevel"/>
    <w:tmpl w:val="441A2964"/>
    <w:lvl w:ilvl="0" w:tplc="3A2E6A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5ABC"/>
    <w:multiLevelType w:val="hybridMultilevel"/>
    <w:tmpl w:val="62C47E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D0DF3"/>
    <w:rsid w:val="00075789"/>
    <w:rsid w:val="00121ABA"/>
    <w:rsid w:val="00137FC2"/>
    <w:rsid w:val="001966E1"/>
    <w:rsid w:val="001B7751"/>
    <w:rsid w:val="00230C79"/>
    <w:rsid w:val="002561A5"/>
    <w:rsid w:val="003C0A5B"/>
    <w:rsid w:val="004B3001"/>
    <w:rsid w:val="005E56C4"/>
    <w:rsid w:val="005F2195"/>
    <w:rsid w:val="006C4E77"/>
    <w:rsid w:val="007313F0"/>
    <w:rsid w:val="00881542"/>
    <w:rsid w:val="008C235C"/>
    <w:rsid w:val="00987AD5"/>
    <w:rsid w:val="00A309F7"/>
    <w:rsid w:val="00AC14EE"/>
    <w:rsid w:val="00CA18FF"/>
    <w:rsid w:val="00CB5B8C"/>
    <w:rsid w:val="00CD0DF3"/>
    <w:rsid w:val="00D144AF"/>
    <w:rsid w:val="00DF0C7B"/>
    <w:rsid w:val="00F55D99"/>
    <w:rsid w:val="00F90F81"/>
    <w:rsid w:val="00FF0025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0DF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8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61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300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300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VibRnQdP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ltalex.com/documents/leggi/2017/08/03/codice-terzo-settore" TargetMode="External"/><Relationship Id="rId12" Type="http://schemas.openxmlformats.org/officeDocument/2006/relationships/hyperlink" Target="https://www.leggiogg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olontariatotorin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vpadov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alianonprofit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96D3-6E49-4378-8262-AEB4877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farouq.ridha</dc:creator>
  <cp:lastModifiedBy>Mauro Zuccari</cp:lastModifiedBy>
  <cp:revision>3</cp:revision>
  <dcterms:created xsi:type="dcterms:W3CDTF">2019-01-14T07:40:00Z</dcterms:created>
  <dcterms:modified xsi:type="dcterms:W3CDTF">2019-01-17T19:29:00Z</dcterms:modified>
</cp:coreProperties>
</file>